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36FA" w:rsidRDefault="00F17F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</w:rPr>
      </w:pPr>
      <w:r>
        <w:rPr>
          <w:color w:val="000000"/>
        </w:rPr>
        <w:t>Załącznik nr 6 do ZW 121/2020</w:t>
      </w:r>
    </w:p>
    <w:p w:rsidR="007136FA" w:rsidRDefault="007136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</w:pPr>
    </w:p>
    <w:tbl>
      <w:tblPr>
        <w:tblStyle w:val="af1"/>
        <w:tblW w:w="924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40"/>
      </w:tblGrid>
      <w:tr w:rsidR="007136FA"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WYDZIAŁ ZARZĄDZANIA</w:t>
            </w:r>
          </w:p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</w:p>
          <w:p w:rsidR="007136FA" w:rsidRDefault="00F17F2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KARTA PRZEDMIOTU</w:t>
            </w:r>
          </w:p>
          <w:p w:rsidR="007136FA" w:rsidRDefault="007136FA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</w:rPr>
            </w:pPr>
          </w:p>
          <w:p w:rsidR="007136FA" w:rsidRDefault="00F17F2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Nazwa przedmiotu w języku polskim:      Antropologia stosowana</w:t>
            </w:r>
          </w:p>
          <w:p w:rsidR="007136FA" w:rsidRDefault="00F17F2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Nazwa przedmiotu w języku angielskim: Applied </w:t>
            </w:r>
            <w:proofErr w:type="spellStart"/>
            <w:r>
              <w:rPr>
                <w:b/>
                <w:color w:val="000000"/>
              </w:rPr>
              <w:t>anthropology</w:t>
            </w:r>
            <w:proofErr w:type="spellEnd"/>
          </w:p>
          <w:p w:rsidR="007136FA" w:rsidRDefault="00F17F2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Kierunek studiów:</w:t>
            </w:r>
            <w:r>
              <w:rPr>
                <w:b/>
              </w:rPr>
              <w:t xml:space="preserve"> Inżynieria zarządzania</w:t>
            </w:r>
          </w:p>
          <w:p w:rsidR="007136FA" w:rsidRDefault="00F17F2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Specjalność: 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Poziom i forma studiów:</w:t>
            </w:r>
            <w:r>
              <w:rPr>
                <w:b/>
                <w:color w:val="000000"/>
              </w:rPr>
              <w:tab/>
              <w:t>I stopień, stacjonarn</w:t>
            </w:r>
            <w:r>
              <w:rPr>
                <w:b/>
              </w:rPr>
              <w:t>a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Rodzaj przedmiotu: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  <w:t>wybieralny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b/>
                <w:color w:val="000000"/>
              </w:rPr>
              <w:t>Kod przedmiotu</w:t>
            </w:r>
            <w:r>
              <w:rPr>
                <w:b/>
                <w:color w:val="000000"/>
              </w:rPr>
              <w:tab/>
            </w:r>
            <w:r>
              <w:rPr>
                <w:b/>
                <w:color w:val="000000"/>
              </w:rPr>
              <w:tab/>
            </w:r>
            <w:r>
              <w:rPr>
                <w:b/>
              </w:rPr>
              <w:t>W08IZZ-SI0085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Grupa kursów                       NIE</w:t>
            </w:r>
          </w:p>
        </w:tc>
      </w:tr>
      <w:tr w:rsidR="007136FA"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7136FA" w:rsidRDefault="007136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136FA" w:rsidRDefault="007136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136FA" w:rsidRDefault="007136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2"/>
        <w:tblW w:w="922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15"/>
      </w:tblGrid>
      <w:tr w:rsidR="007136F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7136F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</w:tr>
      <w:tr w:rsidR="007136F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</w:tr>
      <w:tr w:rsidR="007136F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0"/>
                <w:szCs w:val="20"/>
              </w:rPr>
              <w:t>zaliczenie na ocenę</w:t>
            </w:r>
          </w:p>
        </w:tc>
      </w:tr>
      <w:tr w:rsidR="007136F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7136F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</w:tr>
      <w:tr w:rsidR="007136F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 tym liczba punktów odpowiadająca zajęciom 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b/>
                <w:color w:val="000000"/>
              </w:rPr>
            </w:pPr>
          </w:p>
        </w:tc>
      </w:tr>
      <w:tr w:rsidR="007136FA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1,2</w:t>
            </w:r>
            <w:bookmarkStart w:id="1" w:name="_GoBack"/>
            <w:bookmarkEnd w:id="1"/>
          </w:p>
        </w:tc>
      </w:tr>
    </w:tbl>
    <w:p w:rsidR="007136FA" w:rsidRDefault="007136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136FA" w:rsidRDefault="007136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3"/>
        <w:tblW w:w="924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40"/>
      </w:tblGrid>
      <w:tr w:rsidR="007136FA"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Brak wymagań wstępnych.</w:t>
            </w:r>
          </w:p>
        </w:tc>
      </w:tr>
    </w:tbl>
    <w:p w:rsidR="007136FA" w:rsidRDefault="007136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136FA" w:rsidRDefault="00F17F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2"/>
          <w:szCs w:val="22"/>
        </w:rPr>
      </w:pPr>
      <w:r>
        <w:rPr>
          <w:color w:val="000000"/>
          <w:sz w:val="12"/>
          <w:szCs w:val="12"/>
        </w:rPr>
        <w:t>\</w:t>
      </w:r>
    </w:p>
    <w:tbl>
      <w:tblPr>
        <w:tblStyle w:val="af4"/>
        <w:tblW w:w="9220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220"/>
      </w:tblGrid>
      <w:tr w:rsidR="007136FA">
        <w:tc>
          <w:tcPr>
            <w:tcW w:w="9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CELE PRZEDMIOTU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C1: Uzyskanie przez studenta wiedzy na temat antropologicznych uwarunkowań </w:t>
            </w:r>
            <w:proofErr w:type="spellStart"/>
            <w:r>
              <w:rPr>
                <w:color w:val="000000"/>
                <w:sz w:val="22"/>
                <w:szCs w:val="22"/>
              </w:rPr>
              <w:t>zachowań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organizacyjnych oraz antropologicznych aspektów: komunikacji w organizacjach i kultury organizacyjnej.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C2: Nabycie przez studenta umiejętności samookreślenia roli w zespole</w:t>
            </w:r>
            <w:r>
              <w:rPr>
                <w:color w:val="000000"/>
                <w:sz w:val="22"/>
                <w:szCs w:val="22"/>
              </w:rPr>
              <w:t>.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C3: Nabycie przez studenta kompetencji do identyfikacji różnorodności kulturowej w organizacji w aspekcie społecznej odpowiedzialności oraz rozstrzygania dylematów etycznych generowanych przez aksjologiczną heterogeniczność członków organizacji.</w:t>
            </w:r>
          </w:p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</w:p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  <w:sz w:val="12"/>
                <w:szCs w:val="12"/>
              </w:rPr>
            </w:pPr>
          </w:p>
        </w:tc>
      </w:tr>
    </w:tbl>
    <w:p w:rsidR="007136FA" w:rsidRDefault="007136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136FA" w:rsidRDefault="007136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136FA" w:rsidRDefault="007136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136FA" w:rsidRDefault="007136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5"/>
        <w:tblW w:w="924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40"/>
      </w:tblGrid>
      <w:tr w:rsidR="007136FA">
        <w:trPr>
          <w:trHeight w:val="3417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PRZEDMIOTOWE EFEKTY UCZENIA SIĘ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 zakresu wiedzy: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PEU_W01 Ma wiedzę o antropologicznych uwarunkowaniach </w:t>
            </w:r>
            <w:proofErr w:type="spellStart"/>
            <w:r>
              <w:rPr>
                <w:color w:val="000000"/>
                <w:sz w:val="22"/>
                <w:szCs w:val="22"/>
              </w:rPr>
              <w:t>zachowań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organizacyjnych. Opisuje pojęcie kultury organizacyjnej i jej uwarunkowania cywilizacyjne.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 zakresu umiejętności: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PEU_U01 potrafi  współdziałać i pracować w grupowych i zespołowych formach organizacji pracy (przyjmując w nich różne role). Potrafi organizować pracę małych zespołów i nimi kierować, potrafi samookreślić swoją rolę w zespole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 zakresu kompetencji społeczn</w:t>
            </w:r>
            <w:r>
              <w:rPr>
                <w:color w:val="000000"/>
                <w:sz w:val="22"/>
                <w:szCs w:val="22"/>
              </w:rPr>
              <w:t>ych: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 jest przygotowany do identyfikowania i analizowania i rozstrzygania problemów zawodowych i społecznych w miejscu pracy. Potrafi elastycznie poszukiwać sposobów ich rozwiązywania.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PEU_K02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jest przygotowany do identyfikacji różnorodności kulturo</w:t>
            </w:r>
            <w:r>
              <w:rPr>
                <w:sz w:val="22"/>
                <w:szCs w:val="22"/>
              </w:rPr>
              <w:t>wej w organizacji oraz rozstrzygania dylematów etycznych.</w:t>
            </w:r>
          </w:p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sz w:val="22"/>
                <w:szCs w:val="22"/>
              </w:rPr>
            </w:pPr>
          </w:p>
        </w:tc>
      </w:tr>
    </w:tbl>
    <w:p w:rsidR="007136FA" w:rsidRDefault="007136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p w:rsidR="007136FA" w:rsidRDefault="007136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 w:val="20"/>
          <w:szCs w:val="20"/>
          <w:vertAlign w:val="superscript"/>
        </w:rPr>
      </w:pPr>
    </w:p>
    <w:tbl>
      <w:tblPr>
        <w:tblStyle w:val="af6"/>
        <w:tblW w:w="924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87"/>
      </w:tblGrid>
      <w:tr w:rsidR="007136FA">
        <w:trPr>
          <w:trHeight w:val="336"/>
        </w:trPr>
        <w:tc>
          <w:tcPr>
            <w:tcW w:w="9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TREŚCI PROGRAMOWE</w:t>
            </w:r>
          </w:p>
        </w:tc>
      </w:tr>
      <w:tr w:rsidR="007136FA">
        <w:trPr>
          <w:trHeight w:val="23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36FA" w:rsidRDefault="00F17F2E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Forma zajęć – seminarium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6FA" w:rsidRDefault="00F17F2E">
            <w:pPr>
              <w:keepNext/>
              <w:numPr>
                <w:ilvl w:val="4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Liczba godzin </w:t>
            </w:r>
          </w:p>
        </w:tc>
      </w:tr>
      <w:tr w:rsidR="007136FA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Se1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Antropologia stosowana w kontekście nauk filozoficznych. Kwestie organizacyjne (1h)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136FA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Se2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Redukcjonistyczne wizje człowieka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136FA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Se3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Problem antropologii adekwatnej 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136FA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Se4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Antropologiczne uwarunkowania </w:t>
            </w:r>
            <w:proofErr w:type="spellStart"/>
            <w:r>
              <w:rPr>
                <w:color w:val="000000"/>
              </w:rPr>
              <w:t>zachowań</w:t>
            </w:r>
            <w:proofErr w:type="spellEnd"/>
            <w:r>
              <w:rPr>
                <w:color w:val="000000"/>
              </w:rPr>
              <w:t xml:space="preserve"> organizacyjnych: determinanty zewnętrzne i wewnętrzne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136FA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Se5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Budowanie zespołów i grup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136FA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Se6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Kierowanie małym zespołem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136FA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Se7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Uwarunkowania efektywności zespołów (motywowanie, zarządzanie, komunikacja, konflikt)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136FA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Se8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Motywacja wewnętrzna i zewnętrzna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136FA">
        <w:trPr>
          <w:trHeight w:val="23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Se9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Techniki motywacyjne</w:t>
            </w:r>
          </w:p>
        </w:tc>
        <w:tc>
          <w:tcPr>
            <w:tcW w:w="1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136FA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Se10</w:t>
            </w:r>
          </w:p>
        </w:tc>
        <w:tc>
          <w:tcPr>
            <w:tcW w:w="6988" w:type="dxa"/>
            <w:tcBorders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Komunikacja w organizacji: uwarunkowania, rodzaje i funkcje, bariery komunikacyjne, aktywne słuchanie, informacje zwrotne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136FA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Se11</w:t>
            </w:r>
          </w:p>
        </w:tc>
        <w:tc>
          <w:tcPr>
            <w:tcW w:w="6988" w:type="dxa"/>
            <w:tcBorders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IT w biznesie i problem algorytmizacji człowieka 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136FA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Se12</w:t>
            </w:r>
          </w:p>
        </w:tc>
        <w:tc>
          <w:tcPr>
            <w:tcW w:w="6988" w:type="dxa"/>
            <w:tcBorders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Komunikacja międzykulturowa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136FA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Se13</w:t>
            </w:r>
          </w:p>
        </w:tc>
        <w:tc>
          <w:tcPr>
            <w:tcW w:w="6988" w:type="dxa"/>
            <w:tcBorders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Cywilizacyjne uwarunkowania kultury organizacyjnej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136FA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Se14</w:t>
            </w:r>
          </w:p>
        </w:tc>
        <w:tc>
          <w:tcPr>
            <w:tcW w:w="6988" w:type="dxa"/>
            <w:tcBorders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Pluralizm kulturowy w organizacji i problem tolerancji 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136FA">
        <w:trPr>
          <w:trHeight w:val="345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Se15</w:t>
            </w:r>
          </w:p>
        </w:tc>
        <w:tc>
          <w:tcPr>
            <w:tcW w:w="6988" w:type="dxa"/>
            <w:tcBorders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</w:rPr>
              <w:t>Społeczna odpowiedzialność przedsiębiorstw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7136FA">
        <w:trPr>
          <w:trHeight w:val="23"/>
        </w:trPr>
        <w:tc>
          <w:tcPr>
            <w:tcW w:w="76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color w:val="000000"/>
              </w:rPr>
            </w:pPr>
          </w:p>
        </w:tc>
        <w:tc>
          <w:tcPr>
            <w:tcW w:w="6988" w:type="dxa"/>
            <w:tcBorders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</w:rPr>
              <w:t xml:space="preserve">                                                       suma</w:t>
            </w:r>
          </w:p>
        </w:tc>
        <w:tc>
          <w:tcPr>
            <w:tcW w:w="14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</w:rPr>
              <w:t>30</w:t>
            </w:r>
          </w:p>
        </w:tc>
      </w:tr>
    </w:tbl>
    <w:p w:rsidR="007136FA" w:rsidRDefault="007136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136FA" w:rsidRDefault="007136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136FA" w:rsidRDefault="007136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136FA" w:rsidRDefault="007136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7"/>
        <w:tblW w:w="924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40"/>
      </w:tblGrid>
      <w:tr w:rsidR="007136FA">
        <w:trPr>
          <w:trHeight w:val="157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F17F2E">
            <w:pPr>
              <w:keepNext/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 w:line="240" w:lineRule="auto"/>
              <w:ind w:left="0" w:hanging="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STOSOWANE NARZĘDZIA DYDAKTYCZNE</w:t>
            </w:r>
          </w:p>
        </w:tc>
      </w:tr>
      <w:tr w:rsidR="007136FA">
        <w:trPr>
          <w:trHeight w:val="567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N1</w:t>
            </w:r>
            <w:r>
              <w:rPr>
                <w:color w:val="000000"/>
              </w:rPr>
              <w:t>.</w:t>
            </w:r>
            <w:r>
              <w:t xml:space="preserve"> </w:t>
            </w:r>
            <w:r>
              <w:rPr>
                <w:color w:val="000000"/>
                <w:sz w:val="22"/>
                <w:szCs w:val="22"/>
              </w:rPr>
              <w:t>Prezentacja multimedialna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N2. Wykład interaktywny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N4. Dyskusja panelowa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N4. Praca w grupach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N5. Burza mózgów</w:t>
            </w:r>
          </w:p>
        </w:tc>
      </w:tr>
    </w:tbl>
    <w:p w:rsidR="007136FA" w:rsidRDefault="007136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136FA" w:rsidRDefault="00F17F2E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OCENA OSIĄGNIĘCIA PRZEDMIOTOWYCH EFEKTÓW UCZENIA SIĘ</w:t>
      </w:r>
    </w:p>
    <w:p w:rsidR="007136FA" w:rsidRDefault="007136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color w:val="000000"/>
          <w:sz w:val="22"/>
          <w:szCs w:val="22"/>
        </w:rPr>
      </w:pPr>
    </w:p>
    <w:tbl>
      <w:tblPr>
        <w:tblStyle w:val="af8"/>
        <w:tblW w:w="929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652"/>
      </w:tblGrid>
      <w:tr w:rsidR="007136FA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Oceny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formująca (w trakcie semestru), P – podsumowująca (na koniec semestru)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Numer efektu uczenia się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Sposób oceny osiągnięcia efektu uczenia się</w:t>
            </w:r>
          </w:p>
        </w:tc>
      </w:tr>
      <w:tr w:rsidR="007136FA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F1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PEU_W01 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PEU_K01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PEU_K02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pisemna wersja referatu </w:t>
            </w:r>
          </w:p>
        </w:tc>
      </w:tr>
      <w:tr w:rsidR="007136FA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</w:rPr>
              <w:t>F2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19"/>
              </w:tabs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PEU_U01 </w:t>
            </w:r>
          </w:p>
        </w:tc>
        <w:tc>
          <w:tcPr>
            <w:tcW w:w="4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aktywność na zajęciach, udział w dyskusji</w:t>
            </w:r>
          </w:p>
        </w:tc>
      </w:tr>
      <w:tr w:rsidR="007136FA">
        <w:tc>
          <w:tcPr>
            <w:tcW w:w="92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 = (F1 + F2)/2</w:t>
            </w:r>
          </w:p>
        </w:tc>
      </w:tr>
    </w:tbl>
    <w:p w:rsidR="007136FA" w:rsidRDefault="007136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p w:rsidR="007136FA" w:rsidRDefault="007136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12"/>
          <w:szCs w:val="12"/>
        </w:rPr>
      </w:pPr>
    </w:p>
    <w:tbl>
      <w:tblPr>
        <w:tblStyle w:val="af9"/>
        <w:tblW w:w="9240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240"/>
      </w:tblGrid>
      <w:tr w:rsidR="007136FA">
        <w:trPr>
          <w:cantSplit/>
          <w:trHeight w:val="315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F17F2E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40" w:line="240" w:lineRule="auto"/>
              <w:ind w:left="0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LITERATURA PODSTAWOWA I UZUPEŁNIAJĄCA</w:t>
            </w:r>
          </w:p>
        </w:tc>
      </w:tr>
      <w:tr w:rsidR="007136FA">
        <w:trPr>
          <w:trHeight w:val="3814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u w:val="single"/>
              </w:rPr>
            </w:pP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b/>
                <w:smallCaps/>
                <w:color w:val="000000"/>
                <w:u w:val="single"/>
              </w:rPr>
              <w:t>LITERATURA PODSTAWOWA: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222222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[1] </w:t>
            </w:r>
            <w:r>
              <w:rPr>
                <w:color w:val="000000"/>
                <w:sz w:val="23"/>
                <w:szCs w:val="23"/>
              </w:rPr>
              <w:t xml:space="preserve">Koźmiński, A. K., Piotrowski W. [red. nauk.], </w:t>
            </w:r>
            <w:r>
              <w:rPr>
                <w:i/>
                <w:color w:val="000000"/>
                <w:sz w:val="23"/>
                <w:szCs w:val="23"/>
              </w:rPr>
              <w:t>Zarządzanie: teoria i praktyka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>
              <w:rPr>
                <w:color w:val="222222"/>
                <w:sz w:val="23"/>
                <w:szCs w:val="23"/>
              </w:rPr>
              <w:t>Wydawnictwo Naukowe PWN, Warszawa</w:t>
            </w:r>
            <w:r>
              <w:rPr>
                <w:color w:val="000000"/>
                <w:sz w:val="23"/>
                <w:szCs w:val="23"/>
              </w:rPr>
              <w:t xml:space="preserve"> 2010.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3"/>
                <w:szCs w:val="23"/>
              </w:rPr>
            </w:pPr>
            <w:r>
              <w:rPr>
                <w:color w:val="222222"/>
                <w:sz w:val="23"/>
                <w:szCs w:val="23"/>
              </w:rPr>
              <w:t xml:space="preserve">[2] Stewart J., [red.], </w:t>
            </w:r>
            <w:r>
              <w:rPr>
                <w:i/>
                <w:color w:val="222222"/>
                <w:sz w:val="23"/>
                <w:szCs w:val="23"/>
              </w:rPr>
              <w:t>Mosty zamiast murów. Podręcznik komunikacji interpersonalnej</w:t>
            </w:r>
            <w:r>
              <w:rPr>
                <w:color w:val="222222"/>
                <w:sz w:val="23"/>
                <w:szCs w:val="23"/>
              </w:rPr>
              <w:t xml:space="preserve">, Wydawnictwo Naukowe PWN, Warszawa 2022. 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sz w:val="23"/>
                <w:szCs w:val="23"/>
              </w:rPr>
              <w:t xml:space="preserve">[3] </w:t>
            </w:r>
            <w:r>
              <w:rPr>
                <w:color w:val="000000"/>
                <w:sz w:val="23"/>
                <w:szCs w:val="23"/>
              </w:rPr>
              <w:t xml:space="preserve">Ząbek M., [red.], </w:t>
            </w:r>
            <w:r>
              <w:rPr>
                <w:i/>
                <w:color w:val="000000"/>
                <w:sz w:val="23"/>
                <w:szCs w:val="23"/>
              </w:rPr>
              <w:t>Antropologia stosowana</w:t>
            </w:r>
            <w:r>
              <w:rPr>
                <w:color w:val="000000"/>
                <w:sz w:val="23"/>
                <w:szCs w:val="23"/>
              </w:rPr>
              <w:t xml:space="preserve">, Warszawa 2013. </w:t>
            </w:r>
          </w:p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</w:pP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0" w:hanging="2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</w:rPr>
              <w:t xml:space="preserve"> </w:t>
            </w:r>
            <w:r>
              <w:rPr>
                <w:b/>
                <w:smallCaps/>
                <w:color w:val="000000"/>
                <w:u w:val="single"/>
              </w:rPr>
              <w:t>LITERATURA UZUPEŁNIAJĄCA: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[1] </w:t>
            </w:r>
            <w:r>
              <w:rPr>
                <w:color w:val="000000"/>
                <w:sz w:val="23"/>
                <w:szCs w:val="23"/>
              </w:rPr>
              <w:t xml:space="preserve">Nowicka E., </w:t>
            </w:r>
            <w:r>
              <w:rPr>
                <w:i/>
                <w:color w:val="000000"/>
                <w:sz w:val="23"/>
                <w:szCs w:val="23"/>
              </w:rPr>
              <w:t>Świat człowieka – świat kultury</w:t>
            </w:r>
            <w:r>
              <w:rPr>
                <w:color w:val="000000"/>
                <w:sz w:val="23"/>
                <w:szCs w:val="23"/>
              </w:rPr>
              <w:t>, Warszawa 2006.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222222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[2] </w:t>
            </w:r>
            <w:r>
              <w:rPr>
                <w:color w:val="000000"/>
                <w:sz w:val="23"/>
                <w:szCs w:val="23"/>
              </w:rPr>
              <w:t xml:space="preserve">Sikora M., </w:t>
            </w:r>
            <w:r>
              <w:rPr>
                <w:i/>
                <w:color w:val="000000"/>
                <w:sz w:val="23"/>
                <w:szCs w:val="23"/>
              </w:rPr>
              <w:t>W kierunku praktycznego wymiaru antropologii</w:t>
            </w:r>
            <w:r>
              <w:rPr>
                <w:color w:val="000000"/>
                <w:sz w:val="23"/>
                <w:szCs w:val="23"/>
              </w:rPr>
              <w:t>, „Studia Etnologiczne i Antropologiczne” 2016, nr 16, s. 85-100.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222222"/>
                <w:sz w:val="23"/>
                <w:szCs w:val="23"/>
              </w:rPr>
            </w:pPr>
            <w:r>
              <w:rPr>
                <w:color w:val="222222"/>
                <w:sz w:val="23"/>
                <w:szCs w:val="23"/>
              </w:rPr>
              <w:t xml:space="preserve">[3] </w:t>
            </w:r>
            <w:proofErr w:type="spellStart"/>
            <w:r>
              <w:rPr>
                <w:color w:val="222222"/>
                <w:sz w:val="23"/>
                <w:szCs w:val="23"/>
              </w:rPr>
              <w:t>Szaban</w:t>
            </w:r>
            <w:proofErr w:type="spellEnd"/>
            <w:r>
              <w:rPr>
                <w:color w:val="222222"/>
                <w:sz w:val="23"/>
                <w:szCs w:val="23"/>
              </w:rPr>
              <w:t xml:space="preserve"> J., </w:t>
            </w:r>
            <w:r>
              <w:rPr>
                <w:i/>
                <w:color w:val="222222"/>
                <w:sz w:val="23"/>
                <w:szCs w:val="23"/>
              </w:rPr>
              <w:t>Zachowania organizacyjne. Aspekt międzykulturowy</w:t>
            </w:r>
            <w:r>
              <w:rPr>
                <w:color w:val="222222"/>
                <w:sz w:val="23"/>
                <w:szCs w:val="23"/>
              </w:rPr>
              <w:t>, Wydawnictwo Adam i Marszałek, Toruń,  2012.</w:t>
            </w:r>
          </w:p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222222"/>
                <w:sz w:val="23"/>
                <w:szCs w:val="23"/>
              </w:rPr>
            </w:pPr>
          </w:p>
        </w:tc>
      </w:tr>
      <w:tr w:rsidR="007136FA">
        <w:trPr>
          <w:trHeight w:val="285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>
              <w:rPr>
                <w:b/>
                <w:color w:val="000000"/>
              </w:rPr>
              <w:t>OPIEKUN PRZEDMIOTU (IMIĘ, NAZWISKO, ADRES E-MAIL)</w:t>
            </w:r>
          </w:p>
        </w:tc>
      </w:tr>
      <w:tr w:rsidR="007136FA">
        <w:trPr>
          <w:trHeight w:val="400"/>
        </w:trPr>
        <w:tc>
          <w:tcPr>
            <w:tcW w:w="9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dr Rafał Szopa, </w:t>
            </w:r>
            <w:hyperlink r:id="rId8">
              <w:r>
                <w:rPr>
                  <w:b/>
                  <w:color w:val="0000FF"/>
                  <w:u w:val="single"/>
                </w:rPr>
                <w:t>rafal.szopa@pwr.edu.pl</w:t>
              </w:r>
            </w:hyperlink>
            <w:r>
              <w:rPr>
                <w:b/>
                <w:color w:val="000000"/>
              </w:rPr>
              <w:t>;</w:t>
            </w:r>
          </w:p>
          <w:p w:rsidR="007136FA" w:rsidRDefault="00F17F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dr Krzysztof Serafin, </w:t>
            </w:r>
            <w:r>
              <w:rPr>
                <w:b/>
                <w:color w:val="0000FF"/>
                <w:u w:val="single"/>
              </w:rPr>
              <w:t>krzysztof.serafin@pwr.edu.pl</w:t>
            </w:r>
          </w:p>
          <w:p w:rsidR="007136FA" w:rsidRDefault="007136F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7136FA" w:rsidRDefault="007136FA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</w:rPr>
      </w:pPr>
    </w:p>
    <w:p w:rsidR="007136FA" w:rsidRDefault="007136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sectPr w:rsidR="007136FA">
      <w:footerReference w:type="default" r:id="rId9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F17F2E">
      <w:pPr>
        <w:spacing w:line="240" w:lineRule="auto"/>
        <w:ind w:left="0" w:hanging="2"/>
      </w:pPr>
      <w:r>
        <w:separator/>
      </w:r>
    </w:p>
  </w:endnote>
  <w:endnote w:type="continuationSeparator" w:id="0">
    <w:p w:rsidR="00000000" w:rsidRDefault="00F17F2E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36FA" w:rsidRDefault="007136FA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F17F2E">
      <w:pPr>
        <w:spacing w:line="240" w:lineRule="auto"/>
        <w:ind w:left="0" w:hanging="2"/>
      </w:pPr>
      <w:r>
        <w:separator/>
      </w:r>
    </w:p>
  </w:footnote>
  <w:footnote w:type="continuationSeparator" w:id="0">
    <w:p w:rsidR="00000000" w:rsidRDefault="00F17F2E">
      <w:pPr>
        <w:spacing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C66706"/>
    <w:multiLevelType w:val="multilevel"/>
    <w:tmpl w:val="4AA0538A"/>
    <w:lvl w:ilvl="0">
      <w:start w:val="1"/>
      <w:numFmt w:val="decimal"/>
      <w:pStyle w:val="Nagwek1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pStyle w:val="Nagwek2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pStyle w:val="Nagwek3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pStyle w:val="Nagwek4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pStyle w:val="Nagwek5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pStyle w:val="Nagwek6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pStyle w:val="Nagwek7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6FA"/>
    <w:rsid w:val="007136FA"/>
    <w:rsid w:val="00F1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01632"/>
  <w15:docId w15:val="{54A9C232-7955-4FBF-A41D-3619E1322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ind w:left="-1" w:hanging="1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ind w:left="-1" w:hanging="1"/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ind w:left="-1" w:hanging="1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ind w:left="-1" w:hanging="1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pPr>
      <w:keepNext/>
      <w:numPr>
        <w:ilvl w:val="6"/>
        <w:numId w:val="1"/>
      </w:numPr>
      <w:spacing w:before="60" w:after="60"/>
      <w:ind w:left="-1" w:hanging="1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Pr>
      <w:rFonts w:ascii="Symbol" w:eastAsia="Times New Roman" w:hAnsi="Symbol" w:cs="Times New Roman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1">
    <w:name w:val="WW8Num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2">
    <w:name w:val="WW8Num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z3">
    <w:name w:val="WW8Num7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1">
    <w:name w:val="WW8Num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2">
    <w:name w:val="WW8Num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3">
    <w:name w:val="WW8Num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4">
    <w:name w:val="WW8Num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5">
    <w:name w:val="WW8Num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6">
    <w:name w:val="WW8Num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7">
    <w:name w:val="WW8Num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8">
    <w:name w:val="WW8Num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2">
    <w:name w:val="WW8Num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3">
    <w:name w:val="WW8Num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4">
    <w:name w:val="WW8Num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5">
    <w:name w:val="WW8Num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6">
    <w:name w:val="WW8Num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7">
    <w:name w:val="WW8Num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8">
    <w:name w:val="WW8Num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0">
    <w:name w:val="WW8Num10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1">
    <w:name w:val="WW8Num1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2">
    <w:name w:val="WW8Num1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3">
    <w:name w:val="WW8Num1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4">
    <w:name w:val="WW8Num1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5">
    <w:name w:val="WW8Num1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6">
    <w:name w:val="WW8Num1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7">
    <w:name w:val="WW8Num1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8">
    <w:name w:val="WW8Num1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Pr>
      <w:rFonts w:ascii="Symbol" w:eastAsia="Times New Roman" w:hAnsi="Symbol" w:cs="Times New Roman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1z3">
    <w:name w:val="WW8Num11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1">
    <w:name w:val="WW8Num1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2">
    <w:name w:val="WW8Num1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3">
    <w:name w:val="WW8Num1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4">
    <w:name w:val="WW8Num1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5">
    <w:name w:val="WW8Num1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6">
    <w:name w:val="WW8Num1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7">
    <w:name w:val="WW8Num1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8">
    <w:name w:val="WW8Num1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0">
    <w:name w:val="WW8Num1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1">
    <w:name w:val="WW8Num1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2">
    <w:name w:val="WW8Num1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3">
    <w:name w:val="WW8Num1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4">
    <w:name w:val="WW8Num1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5">
    <w:name w:val="WW8Num1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6">
    <w:name w:val="WW8Num1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7">
    <w:name w:val="WW8Num1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8">
    <w:name w:val="WW8Num1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0">
    <w:name w:val="WW8Num14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1">
    <w:name w:val="WW8Num1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2">
    <w:name w:val="WW8Num1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3">
    <w:name w:val="WW8Num1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4">
    <w:name w:val="WW8Num1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5">
    <w:name w:val="WW8Num1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6">
    <w:name w:val="WW8Num1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7">
    <w:name w:val="WW8Num1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8">
    <w:name w:val="WW8Num1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Pr>
      <w:rFonts w:ascii="Symbol" w:eastAsia="Times New Roman" w:hAnsi="Symbol" w:cs="Times New Roman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5z1">
    <w:name w:val="WW8Num1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5z2">
    <w:name w:val="WW8Num1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5z3">
    <w:name w:val="WW8Num15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6z0">
    <w:name w:val="WW8Num16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1">
    <w:name w:val="WW8Num1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2">
    <w:name w:val="WW8Num1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3">
    <w:name w:val="WW8Num1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4">
    <w:name w:val="WW8Num1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5">
    <w:name w:val="WW8Num1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6">
    <w:name w:val="WW8Num1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7">
    <w:name w:val="WW8Num1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8">
    <w:name w:val="WW8Num1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0">
    <w:name w:val="WW8Num17z0"/>
    <w:rPr>
      <w:rFonts w:ascii="Symbol" w:eastAsia="Times New Roman" w:hAnsi="Symbol" w:cs="Times New Roman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7z1">
    <w:name w:val="WW8Num17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7z2">
    <w:name w:val="WW8Num17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7z3">
    <w:name w:val="WW8Num17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8z0">
    <w:name w:val="WW8Num18z0"/>
    <w:rPr>
      <w:rFonts w:ascii="Symbol" w:eastAsia="Times New Roman" w:hAnsi="Symbol" w:cs="Times New Roman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8z1">
    <w:name w:val="WW8Num18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8z2">
    <w:name w:val="WW8Num18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8z3">
    <w:name w:val="WW8Num18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3">
    <w:name w:val="Domyślna czcionka akapitu3"/>
    <w:rPr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Numerstrony">
    <w:name w:val="page number"/>
    <w:basedOn w:val="Domylnaczcionkaakapitu1"/>
    <w:rPr>
      <w:w w:val="100"/>
      <w:position w:val="-1"/>
      <w:effect w:val="none"/>
      <w:vertAlign w:val="baseline"/>
      <w:cs w:val="0"/>
      <w:em w:val="none"/>
    </w:rPr>
  </w:style>
  <w:style w:type="character" w:styleId="UyteHipercze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Odwoaniedokomentarza1">
    <w:name w:val="Odwołanie do komentarza1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TekstkomentarzaZnak">
    <w:name w:val="Tekst komentarza Znak"/>
    <w:rPr>
      <w:w w:val="100"/>
      <w:position w:val="-1"/>
      <w:effect w:val="none"/>
      <w:vertAlign w:val="baseline"/>
      <w:cs w:val="0"/>
      <w:em w:val="none"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styleId="Nierozpoznanawzmianka">
    <w:name w:val="Unresolved Mention"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</w:style>
  <w:style w:type="paragraph" w:customStyle="1" w:styleId="Podpis3">
    <w:name w:val="Podpis3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customStyle="1" w:styleId="Kolorowalistaakcent11">
    <w:name w:val="Kolorowa lista — akcent 11"/>
    <w:basedOn w:val="Normalny"/>
    <w:pPr>
      <w:suppressAutoHyphens/>
      <w:ind w:left="720" w:firstLine="0"/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Default">
    <w:name w:val="Default"/>
    <w:pPr>
      <w:autoSpaceDE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lang w:eastAsia="ar-SA"/>
    </w:rPr>
  </w:style>
  <w:style w:type="paragraph" w:customStyle="1" w:styleId="Tekstwstpniesformatowany">
    <w:name w:val="Tekst wstępnie sformatowany"/>
    <w:basedOn w:val="Normalny"/>
    <w:rPr>
      <w:rFonts w:ascii="Courier New" w:eastAsia="NSimSun" w:hAnsi="Courier New" w:cs="Courier New"/>
      <w:sz w:val="20"/>
      <w:szCs w:val="20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C22347"/>
    <w:pPr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lang w:eastAsia="pl-PL"/>
    </w:r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fal.szopa@pwr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DTKQJnX9ddQq/KX/FWei51moSg==">AMUW2mXchpkjCtsKoYS5WpHqp617XyUxMNE92YCcWUNq9GpDn2jAWpQxdkzF8D2Qjev6VPD4s3zyaAufIgBoLD0Tynido6f6qNQzHqCON+mW1vRF5yW8gf416l5+fsYbtx6Bt4q2DIvx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680</Words>
  <Characters>4085</Characters>
  <Application>Microsoft Office Word</Application>
  <DocSecurity>0</DocSecurity>
  <Lines>34</Lines>
  <Paragraphs>9</Paragraphs>
  <ScaleCrop>false</ScaleCrop>
  <Company/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2</cp:revision>
  <dcterms:created xsi:type="dcterms:W3CDTF">2022-05-23T21:53:00Z</dcterms:created>
  <dcterms:modified xsi:type="dcterms:W3CDTF">2023-03-02T07:44:00Z</dcterms:modified>
</cp:coreProperties>
</file>